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Анестезиология-реаниматология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Анестезиология-реаниматология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Анестезиология-реаниматология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У пациентки 59 лет во время выполнения спинальной анестезии возникает онемение в области губ и языка, шум в ушах, беспокойство, чувство страха, тошнота, однократная рвота, с последующей потерей сознания.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 предъявляет в силу тяжести состояния.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Пациентка поступила на плановое оперативное вмешательство по поводу миомы матки.</w:t>
      </w:r>
    </w:p>
    <w:p>
      <w:pPr>
        <w:spacing w:after="58"/>
      </w:pPr>
      <w:r>
        <w:rPr>
          <w:b w:val="0"/>
          <w:i w:val="0"/>
        </w:rPr>
        <w:t>* Во время введения раствора лидокаина в дозе 80 мг в субарахноидальное пространство у пациентки развивается вышеописанное состояние.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детстве тонзилэктомия (год указать не может), стеатогепатоз.</w:t>
      </w:r>
    </w:p>
    <w:p>
      <w:pPr>
        <w:spacing w:after="58"/>
      </w:pPr>
      <w:r>
        <w:rPr>
          <w:b w:val="0"/>
          <w:i w:val="0"/>
        </w:rPr>
        <w:t>* Наследственность: мать здорова. У отца подагра.</w:t>
      </w:r>
    </w:p>
    <w:p>
      <w:pPr>
        <w:spacing w:after="58"/>
      </w:pPr>
      <w:r>
        <w:rPr>
          <w:b w:val="0"/>
          <w:i w:val="0"/>
        </w:rPr>
        <w:t>* Аллергоанамнез: Лорсепт – отек Квинке.</w:t>
      </w:r>
    </w:p>
    <w:p>
      <w:pPr>
        <w:spacing w:after="58"/>
      </w:pPr>
      <w:r>
        <w:rPr>
          <w:b w:val="0"/>
          <w:i w:val="0"/>
        </w:rPr>
        <w:t>* Вредные привычки: курение отрицает, алкоголь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165 см, вес - 80 кг.</w:t>
      </w:r>
    </w:p>
    <w:p>
      <w:pPr>
        <w:spacing w:after="58"/>
      </w:pPr>
      <w:r>
        <w:rPr>
          <w:b w:val="0"/>
          <w:i w:val="0"/>
        </w:rPr>
        <w:t>Состояние пациентки крайне тяжелое.</w:t>
      </w:r>
    </w:p>
    <w:p>
      <w:pPr>
        <w:spacing w:after="58"/>
      </w:pPr>
      <w:r>
        <w:rPr>
          <w:b w:val="0"/>
          <w:i w:val="0"/>
        </w:rPr>
        <w:t>Сознание по шкале ком Глазго – 6 баллов. Реакция зрачков на свет слабая.</w:t>
      </w:r>
    </w:p>
    <w:p>
      <w:pPr>
        <w:spacing w:after="58"/>
      </w:pPr>
      <w:r>
        <w:rPr>
          <w:b w:val="0"/>
          <w:i w:val="0"/>
        </w:rPr>
        <w:t>Кожные покровы бледные, влажные.</w:t>
      </w:r>
    </w:p>
    <w:p>
      <w:pPr>
        <w:spacing w:after="58"/>
      </w:pPr>
      <w:r>
        <w:rPr>
          <w:b w:val="0"/>
          <w:i w:val="0"/>
        </w:rPr>
        <w:t>Апноэ. SpО2 75%. АД не определяется, брадикардия  29 уд/мин., экстрасистолия, далее фибрилляция желудочков.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тяжелую степень  системной токсичности местных анестетиков указывают гипотензия, апноэ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беспокойство и чувство страха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брадикардия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шум в ушах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онемение в области губ и языка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брадикардия</w:t>
      </w:r>
    </w:p>
    <w:p>
      <w:pPr>
        <w:ind w:left="504"/>
      </w:pPr>
      <w:r>
        <w:rPr>
          <w:b w:val="0"/>
          <w:i/>
        </w:rPr>
        <w:t>При тяжелой степени токсичности — рвота, паралич сфинктеров, снижение тонуса мышц, утрата сознания, гипотензия, брадикардия, периодическое дыхание, остановка дыхания, кома, смерть.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2. Диагностика.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Время, прошедшее от начала введения местного анестетика до развития клинических симптомов, указывает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частичное внутрисосудистое введение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субарахноидальное введение максимальной разовой дозы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внутримышечное введение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внутрисосудистое введение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внутрисосудистое введение</w:t>
      </w:r>
    </w:p>
    <w:p>
      <w:pPr>
        <w:ind w:left="504"/>
      </w:pPr>
      <w:r>
        <w:rPr>
          <w:b w:val="0"/>
          <w:i/>
        </w:rPr>
        <w:t>Сроки развития системной токсичности местных анестетиков</w:t>
        <w:br/>
        <w:br/>
        <w:t>&lt; 60 сек - внутрисосудистое введение местного анестетика</w:t>
        <w:br/>
        <w:br/>
        <w:t>1-5 мин – частичное внутрисосудистое введение местного анестетика</w:t>
        <w:br/>
        <w:br/>
        <w:t>15 мин - введение потенциально токсической дозы местного анестетика для периферической регионарной анестезии (максимальной разовой дозы)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2. Диагностика. Приложение 2.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развитии первых признаков системной токсичности необходимо в первую очередь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приступить к купированию судорог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ввести 1 мл 0,1% раствора адреналина внутривенно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провести диагностику анафилаксии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прекратить введение местных анестетиков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прекратить введение местных анестетиков</w:t>
      </w:r>
    </w:p>
    <w:p>
      <w:pPr>
        <w:ind w:left="504"/>
      </w:pPr>
      <w:r>
        <w:rPr>
          <w:b w:val="0"/>
          <w:i/>
        </w:rPr>
        <w:t>При развитии первых признаков системной токсичности необходимо прекратить введение местных анестетиков.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анестетиками». Клинические рекомендации Министерства здравоохранения Российской Федерации, 2017.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Во время терапии системной токсичности  следует избегать применения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адреналина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мезатона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норадреналина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вазопрессина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вазопрессина</w:t>
      </w:r>
    </w:p>
    <w:p>
      <w:pPr>
        <w:ind w:left="504"/>
      </w:pPr>
      <w:r>
        <w:rPr>
          <w:b w:val="0"/>
          <w:i/>
        </w:rPr>
        <w:t>Следует ИЗБЕГАТЬ использования вазопрессина, блокаторов кальциевых каналов, бета-блокаторов или лидокаина.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3.1. Неотложные мероприятия. Таблица 4.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фибрилляции желудочков на фоне системной токсичности местных анестетиков следует избегать введения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адреналина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амиодарона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эсмолола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мезатона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эсмолола</w:t>
      </w:r>
    </w:p>
    <w:p>
      <w:pPr>
        <w:ind w:left="504"/>
      </w:pPr>
      <w:r>
        <w:rPr>
          <w:b w:val="0"/>
          <w:i/>
        </w:rPr>
        <w:t>Поддержку гемодинамики нужно проводить низкими дозами адреналина в/в; болюс адреналина должен быть ограничен 5-10 мкг/кг чтобы избежать желудочковой тахикардии и фибрилляции. Электроимпульсную терапию проводят при фибрилляции желудочков.</w:t>
        <w:br/>
        <w:br/>
        <w:t>Следует ИЗБЕГАТЬ использования вазопрессина, блокаторов кальциевых каналов, бета-блокаторов или лидокаина.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3.1. Неотложные мероприятия. Таблица 4.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увеличения эффективности реанимационных мероприятий при развитии системной токсичности местных анестетиков  следует использовать внутривенное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эритроцитарной массы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свежезамороженной плазмы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растворов глюкозы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жировой эмульсии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жировой эмульсии</w:t>
      </w:r>
    </w:p>
    <w:p>
      <w:pPr>
        <w:ind w:left="504"/>
      </w:pPr>
      <w:r>
        <w:rPr>
          <w:b w:val="0"/>
          <w:i/>
        </w:rPr>
        <w:t>Согласно новым рекомендациям Европейского совета по реанимации для увеличения эффективности реанимационных мероприятий следует использовать жировую эмульсию.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3.2 Интенсивная терапия жировой эмульсией.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Максимальная рекомендуемая доза 20% жировой эмульсии с учетом веса пациентки составляет +______+ мл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800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800</w:t>
      </w:r>
    </w:p>
    <w:p>
      <w:pPr>
        <w:ind w:left="504"/>
      </w:pPr>
      <w:r>
        <w:rPr>
          <w:b w:val="0"/>
          <w:i/>
        </w:rPr>
        <w:t>Для интенсивной терапии используют 20% раствор жировой эмульсии. Максимальная рекомендуемая доза 20 % липидной эмульсии - 10 мл/кг.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3.2 Интенсивная терапия жировой эмульсией. Таблица 5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качестве замены жировой эмульсии пропофол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рассматривать нельзя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вводить в дозе 0,5 мг/кг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следует вводить в дозе 0,2 мг/кг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следует вводить в дозе 1 мг/кг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рассматривать нельзя</w:t>
      </w:r>
    </w:p>
    <w:p>
      <w:pPr>
        <w:ind w:left="504"/>
      </w:pPr>
      <w:r>
        <w:rPr>
          <w:b w:val="0"/>
          <w:i/>
        </w:rPr>
        <w:t>Пропофол нельзя рассматривать в качестве замены жировой эмульсии, поскольку концентрация липидов в его растворе слишком низкая, а кардиодепрессия и вазодилатация слишком высокие. Негативное влияние пропофола на гемодинамику преобладает над положительным действием жировой эмульсии, в растворе которой он находится.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3.2 Интенсивная терапия жировой эмульсией. Таблица 6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Местные анестетики ингибируют почти все компоненты окислительного фосфорилирования в митохондриях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разрушения крипт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блокады переноса электронов в дыхательной цепи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уменьшения разницы потенциалов на мембране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подавления синтеза аденозинтрифосфата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подавления синтеза аденозинтрифосфата</w:t>
      </w:r>
    </w:p>
    <w:p>
      <w:pPr>
        <w:ind w:left="504"/>
      </w:pPr>
      <w:r>
        <w:rPr>
          <w:b w:val="0"/>
          <w:i/>
        </w:rPr>
        <w:t>Кроме того, местные анестетики ингибируют почти все компоненты окислительного фосфорилирования в митохондриях, подавляя синтез аденозинтрифосфата.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1. Краткая информация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Системная токсичность местных анестетиков связана с неспецифической блокадой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каналов щелевых контактов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кальциевых каналов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потенциалзависимых калиевых каналов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натриевых каналов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натриевых каналов</w:t>
      </w:r>
    </w:p>
    <w:p>
      <w:pPr>
        <w:ind w:left="504"/>
      </w:pPr>
      <w:r>
        <w:rPr>
          <w:b w:val="0"/>
          <w:i/>
        </w:rPr>
        <w:t>Системная токсичность местных анестетиков связана с неспецифической блокадой натриевых каналов.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1. Краткая информация.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препаратам с низким кардиотоксическим эффектом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хирокаин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бупивакаин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новокаин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лидокаин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лидокаин</w:t>
      </w:r>
    </w:p>
    <w:p>
      <w:pPr>
        <w:ind w:left="504"/>
      </w:pPr>
      <w:r>
        <w:rPr>
          <w:b w:val="0"/>
          <w:i/>
        </w:rPr>
        <w:t>При необходимости введения максимальной дозы местного анестетика в обильно васкуляризированные области рекомендуется использовать препараты с низким кардиотоксическим эффектом (лидокаин, ропивакаин, левобупивакаин).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5. Профилактика, Таблица 9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Пациенты, получившие потенциально токсическую дозу местного анестетика, должны находиться под наблюдением не менее +_____+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ind w:left="504"/>
      </w:pPr>
      <w:r>
        <w:rPr>
          <w:b w:val="0"/>
          <w:i/>
        </w:rPr>
        <w:t>Пациенты, получившие потенциально токсическую дозу местного анестетика, должны находиться под наблюдением не менее 30 минут для оценки признаков развития системной токсичности.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2. Диагностика. Приложение 2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latoxic/" TargetMode="External"/><Relationship Id="rId10" Type="http://schemas.openxmlformats.org/officeDocument/2006/relationships/hyperlink" Target="https://library.mededtech.ru/rest/documents/latoxic/#paragraph_72vd7f" TargetMode="External"/><Relationship Id="rId11" Type="http://schemas.openxmlformats.org/officeDocument/2006/relationships/hyperlink" Target="https://library.mededtech.ru/rest/documents/latoxic/#tab2" TargetMode="External"/><Relationship Id="rId12" Type="http://schemas.openxmlformats.org/officeDocument/2006/relationships/hyperlink" Target="https://library.mededtech.ru/rest/documents/latoxic/#paragraph_l1b9gt" TargetMode="External"/><Relationship Id="rId13" Type="http://schemas.openxmlformats.org/officeDocument/2006/relationships/hyperlink" Target="https://library.mededtech.ru/rest/documents/latoxic/#tab4" TargetMode="External"/><Relationship Id="rId14" Type="http://schemas.openxmlformats.org/officeDocument/2006/relationships/hyperlink" Target="https://library.mededtech.ru/rest/documents/latoxic/#paragraph_sigpkb" TargetMode="External"/><Relationship Id="rId15" Type="http://schemas.openxmlformats.org/officeDocument/2006/relationships/hyperlink" Target="https://library.mededtech.ru/rest/documents/latoxic/#tab5" TargetMode="External"/><Relationship Id="rId16" Type="http://schemas.openxmlformats.org/officeDocument/2006/relationships/hyperlink" Target="https://library.mededtech.ru/rest/documents/latoxic/#tab6" TargetMode="External"/><Relationship Id="rId17" Type="http://schemas.openxmlformats.org/officeDocument/2006/relationships/hyperlink" Target="https://library.mededtech.ru/rest/documents/latoxic/#paragraph_hoa5td" TargetMode="External"/><Relationship Id="rId18" Type="http://schemas.openxmlformats.org/officeDocument/2006/relationships/hyperlink" Target="https://library.mededtech.ru/rest/documents/latoxic/#tab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